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11" w:rsidRDefault="00C24011" w:rsidP="00645258">
      <w:pPr>
        <w:rPr>
          <w:b/>
          <w:i/>
          <w:sz w:val="36"/>
          <w:szCs w:val="36"/>
        </w:rPr>
      </w:pPr>
      <w:r>
        <w:rPr>
          <w:rFonts w:eastAsia="Times New Roman"/>
          <w:noProof/>
          <w:color w:val="0000FF"/>
          <w:lang w:eastAsia="fr-FR"/>
        </w:rPr>
        <w:drawing>
          <wp:inline distT="0" distB="0" distL="0" distR="0" wp14:anchorId="49734C47" wp14:editId="674211D6">
            <wp:extent cx="2087880" cy="689394"/>
            <wp:effectExtent l="0" t="0" r="7620" b="0"/>
            <wp:docPr id="2" name="Picture 2" descr="logo Fédération UniAgro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édération UniAg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11" w:rsidRDefault="00C24011" w:rsidP="00D40C07">
      <w:pPr>
        <w:jc w:val="center"/>
        <w:rPr>
          <w:b/>
          <w:i/>
          <w:sz w:val="36"/>
          <w:szCs w:val="36"/>
        </w:rPr>
      </w:pPr>
    </w:p>
    <w:p w:rsidR="00C24011" w:rsidRPr="00C24011" w:rsidRDefault="00C24011" w:rsidP="00C24011">
      <w:pPr>
        <w:pStyle w:val="NormalWeb"/>
        <w:rPr>
          <w:rFonts w:ascii="Arial" w:hAnsi="Arial" w:cs="Arial"/>
          <w:b/>
          <w:color w:val="000000"/>
          <w:sz w:val="18"/>
          <w:szCs w:val="18"/>
          <w:lang w:val="fr-FR"/>
        </w:rPr>
      </w:pPr>
      <w:r w:rsidRPr="00C24011">
        <w:rPr>
          <w:rFonts w:ascii="Arial" w:hAnsi="Arial" w:cs="Arial"/>
          <w:b/>
          <w:color w:val="000000"/>
          <w:sz w:val="20"/>
          <w:szCs w:val="20"/>
          <w:lang w:val="fr-FR"/>
        </w:rPr>
        <w:t>Le groupe régional des "Agros en Rhône Alpes" organise une conférence sur le thème : </w:t>
      </w:r>
    </w:p>
    <w:p w:rsidR="00C24011" w:rsidRDefault="00C24011" w:rsidP="00D40C07">
      <w:pPr>
        <w:jc w:val="center"/>
        <w:rPr>
          <w:b/>
          <w:i/>
          <w:sz w:val="36"/>
          <w:szCs w:val="36"/>
        </w:rPr>
      </w:pPr>
    </w:p>
    <w:p w:rsidR="005870B5" w:rsidRPr="00C24011" w:rsidRDefault="00D40C07" w:rsidP="00D40C07">
      <w:pPr>
        <w:jc w:val="center"/>
        <w:rPr>
          <w:b/>
          <w:i/>
          <w:sz w:val="36"/>
          <w:szCs w:val="36"/>
        </w:rPr>
      </w:pPr>
      <w:r w:rsidRPr="00C24011">
        <w:rPr>
          <w:b/>
          <w:i/>
          <w:sz w:val="36"/>
          <w:szCs w:val="36"/>
        </w:rPr>
        <w:t>L’histoire de l’Inra, entre science et politique</w:t>
      </w:r>
    </w:p>
    <w:p w:rsidR="00AF0F3C" w:rsidRPr="00E11E8B" w:rsidRDefault="00D40C07" w:rsidP="00D40C07">
      <w:pPr>
        <w:jc w:val="center"/>
        <w:rPr>
          <w:b/>
          <w:sz w:val="24"/>
        </w:rPr>
      </w:pPr>
      <w:r w:rsidRPr="00C24011">
        <w:rPr>
          <w:b/>
          <w:i/>
          <w:sz w:val="28"/>
          <w:szCs w:val="28"/>
        </w:rPr>
        <w:t>D</w:t>
      </w:r>
      <w:r w:rsidR="00983292" w:rsidRPr="00C24011">
        <w:rPr>
          <w:b/>
          <w:i/>
          <w:sz w:val="28"/>
          <w:szCs w:val="28"/>
        </w:rPr>
        <w:t>e la conduite du « progrès » de</w:t>
      </w:r>
      <w:r w:rsidRPr="00C24011">
        <w:rPr>
          <w:b/>
          <w:i/>
          <w:sz w:val="28"/>
          <w:szCs w:val="28"/>
        </w:rPr>
        <w:t xml:space="preserve"> l’agriculture </w:t>
      </w:r>
      <w:r w:rsidR="00581EF0" w:rsidRPr="00C24011">
        <w:rPr>
          <w:b/>
          <w:i/>
          <w:sz w:val="28"/>
          <w:szCs w:val="28"/>
        </w:rPr>
        <w:t>française</w:t>
      </w:r>
      <w:r w:rsidRPr="00C24011">
        <w:rPr>
          <w:b/>
          <w:i/>
          <w:sz w:val="28"/>
          <w:szCs w:val="28"/>
        </w:rPr>
        <w:br/>
        <w:t xml:space="preserve">à l’assimilation des enjeux alimentaires et climatiques </w:t>
      </w:r>
      <w:r w:rsidR="00581EF0" w:rsidRPr="00C24011">
        <w:rPr>
          <w:b/>
          <w:i/>
          <w:sz w:val="28"/>
          <w:szCs w:val="28"/>
        </w:rPr>
        <w:t>mondiaux</w:t>
      </w:r>
      <w:r w:rsidR="00B53B76">
        <w:rPr>
          <w:b/>
          <w:i/>
          <w:sz w:val="28"/>
          <w:szCs w:val="28"/>
        </w:rPr>
        <w:t>.</w:t>
      </w:r>
    </w:p>
    <w:p w:rsidR="00581EF0" w:rsidRPr="00AF0F3C" w:rsidRDefault="00581EF0" w:rsidP="00581EF0">
      <w:pPr>
        <w:jc w:val="center"/>
        <w:rPr>
          <w:b/>
          <w:color w:val="FF0000"/>
          <w:sz w:val="36"/>
          <w:szCs w:val="36"/>
        </w:rPr>
      </w:pPr>
      <w:r w:rsidRPr="00AF0F3C">
        <w:rPr>
          <w:b/>
          <w:color w:val="FF0000"/>
          <w:sz w:val="36"/>
          <w:szCs w:val="36"/>
        </w:rPr>
        <w:t xml:space="preserve">Le lundi 23 avril 2018 </w:t>
      </w:r>
      <w:r w:rsidR="00AF0F3C">
        <w:rPr>
          <w:b/>
          <w:color w:val="FF0000"/>
          <w:sz w:val="36"/>
          <w:szCs w:val="36"/>
        </w:rPr>
        <w:br/>
      </w:r>
      <w:r w:rsidRPr="00AF0F3C">
        <w:rPr>
          <w:b/>
          <w:color w:val="FF0000"/>
          <w:sz w:val="36"/>
          <w:szCs w:val="36"/>
        </w:rPr>
        <w:t>à 18h15 </w:t>
      </w:r>
    </w:p>
    <w:p w:rsidR="00B67323" w:rsidRDefault="00581EF0" w:rsidP="00581EF0">
      <w:pPr>
        <w:jc w:val="center"/>
        <w:rPr>
          <w:b/>
          <w:color w:val="FF0000"/>
          <w:sz w:val="36"/>
          <w:szCs w:val="36"/>
        </w:rPr>
      </w:pPr>
      <w:proofErr w:type="gramStart"/>
      <w:r w:rsidRPr="00AF0F3C">
        <w:rPr>
          <w:b/>
          <w:color w:val="FF0000"/>
          <w:sz w:val="36"/>
          <w:szCs w:val="36"/>
        </w:rPr>
        <w:t>à</w:t>
      </w:r>
      <w:proofErr w:type="gramEnd"/>
      <w:r w:rsidRPr="00AF0F3C">
        <w:rPr>
          <w:b/>
          <w:color w:val="FF0000"/>
          <w:sz w:val="36"/>
          <w:szCs w:val="36"/>
        </w:rPr>
        <w:t xml:space="preserve"> l’ISARA 23 Rue Jean </w:t>
      </w:r>
      <w:proofErr w:type="spellStart"/>
      <w:r w:rsidRPr="00AF0F3C">
        <w:rPr>
          <w:b/>
          <w:color w:val="FF0000"/>
          <w:sz w:val="36"/>
          <w:szCs w:val="36"/>
        </w:rPr>
        <w:t>Baldassini</w:t>
      </w:r>
      <w:proofErr w:type="spellEnd"/>
      <w:r w:rsidRPr="00AF0F3C">
        <w:rPr>
          <w:b/>
          <w:color w:val="FF0000"/>
          <w:sz w:val="36"/>
          <w:szCs w:val="36"/>
        </w:rPr>
        <w:t>, 69007 LYON</w:t>
      </w:r>
    </w:p>
    <w:p w:rsidR="00A85322" w:rsidRDefault="00DC285B" w:rsidP="00D40C07">
      <w:pPr>
        <w:jc w:val="center"/>
        <w:rPr>
          <w:b/>
        </w:rPr>
      </w:pPr>
      <w:r w:rsidRPr="00311ACD">
        <w:rPr>
          <w:b/>
          <w:sz w:val="24"/>
          <w:szCs w:val="24"/>
        </w:rPr>
        <w:t xml:space="preserve">Par Odile </w:t>
      </w:r>
      <w:proofErr w:type="spellStart"/>
      <w:r w:rsidRPr="00311ACD">
        <w:rPr>
          <w:b/>
          <w:sz w:val="24"/>
          <w:szCs w:val="24"/>
        </w:rPr>
        <w:t>Maeght</w:t>
      </w:r>
      <w:proofErr w:type="spellEnd"/>
      <w:r w:rsidRPr="00311ACD">
        <w:rPr>
          <w:b/>
          <w:sz w:val="24"/>
          <w:szCs w:val="24"/>
        </w:rPr>
        <w:t xml:space="preserve">-Bournay, </w:t>
      </w:r>
      <w:r w:rsidRPr="00311ACD">
        <w:rPr>
          <w:b/>
          <w:sz w:val="24"/>
          <w:szCs w:val="24"/>
        </w:rPr>
        <w:br/>
      </w:r>
      <w:r w:rsidRPr="00AF0F3C">
        <w:rPr>
          <w:b/>
        </w:rPr>
        <w:t xml:space="preserve">ingénieur agronome (PG-97) et doctorante en histoire </w:t>
      </w:r>
      <w:bookmarkStart w:id="0" w:name="_GoBack"/>
      <w:bookmarkEnd w:id="0"/>
      <w:r w:rsidRPr="00AF0F3C">
        <w:rPr>
          <w:b/>
        </w:rPr>
        <w:br/>
        <w:t xml:space="preserve">à l’Université Lyon 2 (Laboratoire d’études rurales), </w:t>
      </w:r>
    </w:p>
    <w:p w:rsidR="00DC285B" w:rsidRPr="00A85322" w:rsidRDefault="000C50B3" w:rsidP="00A85322">
      <w:pPr>
        <w:jc w:val="center"/>
        <w:rPr>
          <w:b/>
          <w:sz w:val="18"/>
          <w:szCs w:val="18"/>
        </w:rPr>
      </w:pPr>
      <w:r w:rsidRPr="00311ACD">
        <w:rPr>
          <w:b/>
          <w:sz w:val="24"/>
          <w:szCs w:val="24"/>
        </w:rPr>
        <w:t>e</w:t>
      </w:r>
      <w:r w:rsidR="00A85322" w:rsidRPr="00311ACD">
        <w:rPr>
          <w:b/>
          <w:sz w:val="24"/>
          <w:szCs w:val="24"/>
        </w:rPr>
        <w:t xml:space="preserve">t </w:t>
      </w:r>
      <w:proofErr w:type="spellStart"/>
      <w:r w:rsidR="00A85322" w:rsidRPr="00311ACD">
        <w:rPr>
          <w:b/>
          <w:sz w:val="24"/>
          <w:szCs w:val="24"/>
        </w:rPr>
        <w:t>Egizio</w:t>
      </w:r>
      <w:proofErr w:type="spellEnd"/>
      <w:r w:rsidR="00A85322" w:rsidRPr="00311ACD">
        <w:rPr>
          <w:b/>
          <w:sz w:val="24"/>
          <w:szCs w:val="24"/>
        </w:rPr>
        <w:t xml:space="preserve"> </w:t>
      </w:r>
      <w:proofErr w:type="spellStart"/>
      <w:r w:rsidR="00A85322" w:rsidRPr="00311ACD">
        <w:rPr>
          <w:b/>
          <w:sz w:val="24"/>
          <w:szCs w:val="24"/>
        </w:rPr>
        <w:t>Valceschini</w:t>
      </w:r>
      <w:proofErr w:type="spellEnd"/>
      <w:proofErr w:type="gramStart"/>
      <w:r w:rsidR="00A85322" w:rsidRPr="00311ACD">
        <w:rPr>
          <w:b/>
          <w:sz w:val="24"/>
          <w:szCs w:val="24"/>
        </w:rPr>
        <w:t>,</w:t>
      </w:r>
      <w:proofErr w:type="gramEnd"/>
      <w:r w:rsidR="00A85322" w:rsidRPr="00311ACD">
        <w:rPr>
          <w:b/>
          <w:sz w:val="24"/>
          <w:szCs w:val="24"/>
        </w:rPr>
        <w:br/>
      </w:r>
      <w:r w:rsidR="00A85322" w:rsidRPr="00A85322">
        <w:rPr>
          <w:b/>
        </w:rPr>
        <w:t xml:space="preserve">Economiste, Directeur de recherches à l’Inra et Président du Comité d’histoire de l’Inra et du </w:t>
      </w:r>
      <w:proofErr w:type="spellStart"/>
      <w:r w:rsidR="00A85322" w:rsidRPr="00A85322">
        <w:rPr>
          <w:b/>
        </w:rPr>
        <w:t>Cirad</w:t>
      </w:r>
      <w:proofErr w:type="spellEnd"/>
      <w:r w:rsidR="00A85322">
        <w:rPr>
          <w:b/>
        </w:rPr>
        <w:br/>
      </w:r>
      <w:r w:rsidR="00DC285B" w:rsidRPr="00AF0F3C">
        <w:rPr>
          <w:b/>
        </w:rPr>
        <w:br/>
        <w:t>co-auteur</w:t>
      </w:r>
      <w:r w:rsidR="00A85322">
        <w:rPr>
          <w:b/>
        </w:rPr>
        <w:t xml:space="preserve">s </w:t>
      </w:r>
      <w:r w:rsidR="00DC285B" w:rsidRPr="00AF0F3C">
        <w:rPr>
          <w:b/>
        </w:rPr>
        <w:t xml:space="preserve"> de «</w:t>
      </w:r>
      <w:r w:rsidR="00DC285B" w:rsidRPr="00AF0F3C">
        <w:rPr>
          <w:b/>
          <w:i/>
        </w:rPr>
        <w:t> L’histoire de l’Inra, entre science et politique</w:t>
      </w:r>
      <w:r w:rsidR="00717B81" w:rsidRPr="00AF0F3C">
        <w:rPr>
          <w:b/>
        </w:rPr>
        <w:t xml:space="preserve"> » (janvier 2018) * </w:t>
      </w:r>
    </w:p>
    <w:p w:rsidR="00D40C07" w:rsidRDefault="00D40C07"/>
    <w:p w:rsidR="00B53B76" w:rsidRPr="00015EBE" w:rsidRDefault="00581EF0" w:rsidP="00581EF0">
      <w:pPr>
        <w:jc w:val="both"/>
      </w:pPr>
      <w:r w:rsidRPr="00015EBE">
        <w:t xml:space="preserve">Relevant le défi d’une histoire </w:t>
      </w:r>
      <w:r w:rsidR="00AF0F3C" w:rsidRPr="00015EBE">
        <w:t>totale de l’Inra depuis sa création</w:t>
      </w:r>
      <w:r w:rsidRPr="00015EBE">
        <w:t>, l’ouvrage supp</w:t>
      </w:r>
      <w:r w:rsidR="00E11E8B" w:rsidRPr="00015EBE">
        <w:t xml:space="preserve">ort de cette conférence développe </w:t>
      </w:r>
      <w:r w:rsidRPr="00015EBE">
        <w:t>le processus d’interconnexion croissante de la recherche agronomique avec les dynamiques non seulement agricoles et alimentaires, mais également scientifiques, sociales, écon</w:t>
      </w:r>
      <w:r w:rsidR="00AF0F3C" w:rsidRPr="00015EBE">
        <w:t>omiques et politiques. L</w:t>
      </w:r>
      <w:r w:rsidRPr="00015EBE">
        <w:t xml:space="preserve">’Inra constitue </w:t>
      </w:r>
      <w:r w:rsidR="00C24011" w:rsidRPr="00015EBE">
        <w:t xml:space="preserve">ainsi </w:t>
      </w:r>
      <w:r w:rsidRPr="00015EBE">
        <w:t>un observatoire privilégié de la genèse d’une gouvernance globale du vivan</w:t>
      </w:r>
      <w:r w:rsidR="00C24011" w:rsidRPr="00015EBE">
        <w:t>t et de la sécurité alimentaire ;</w:t>
      </w:r>
      <w:r w:rsidRPr="00015EBE">
        <w:t xml:space="preserve"> son histoire contribue à une autre histoire : celle de la constitution en enjeu géopolitique des questions agricoles, alimentaires et environnementales à l’échelle mondiale.</w:t>
      </w:r>
      <w:r w:rsidR="00B53B76" w:rsidRPr="00015EBE">
        <w:t xml:space="preserve"> </w:t>
      </w:r>
    </w:p>
    <w:p w:rsidR="00581EF0" w:rsidRPr="00E11E8B" w:rsidRDefault="00B53B76" w:rsidP="00581EF0">
      <w:pPr>
        <w:jc w:val="both"/>
        <w:rPr>
          <w:b/>
        </w:rPr>
      </w:pPr>
      <w:r>
        <w:rPr>
          <w:b/>
        </w:rPr>
        <w:t xml:space="preserve">La synthèse  historique sera aussi l’occasion d'évoquer au cours du débat le présent et le futur de la recherche </w:t>
      </w:r>
      <w:proofErr w:type="gramStart"/>
      <w:r>
        <w:rPr>
          <w:b/>
        </w:rPr>
        <w:t>agronomique .</w:t>
      </w:r>
      <w:proofErr w:type="gramEnd"/>
      <w:r>
        <w:rPr>
          <w:b/>
        </w:rPr>
        <w:t xml:space="preserve">  </w:t>
      </w:r>
    </w:p>
    <w:p w:rsidR="00E11E8B" w:rsidRPr="00023943" w:rsidRDefault="00E11E8B" w:rsidP="0002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023943">
        <w:rPr>
          <w:rFonts w:cstheme="minorHAnsi"/>
          <w:b/>
        </w:rPr>
        <w:t xml:space="preserve">Lien vers le site de </w:t>
      </w:r>
      <w:proofErr w:type="spellStart"/>
      <w:r w:rsidRPr="00023943">
        <w:rPr>
          <w:rFonts w:cstheme="minorHAnsi"/>
          <w:b/>
        </w:rPr>
        <w:t>Quae</w:t>
      </w:r>
      <w:proofErr w:type="spellEnd"/>
      <w:r w:rsidRPr="00023943">
        <w:rPr>
          <w:rFonts w:cstheme="minorHAnsi"/>
          <w:b/>
        </w:rPr>
        <w:t> : info sur la parution de l’ouvrage et téléchargement gratuit du PDF</w:t>
      </w:r>
      <w:r w:rsidR="00AF0F3C" w:rsidRPr="00023943">
        <w:rPr>
          <w:rFonts w:cstheme="minorHAnsi"/>
          <w:b/>
        </w:rPr>
        <w:t> :</w:t>
      </w:r>
      <w:r w:rsidRPr="00023943">
        <w:rPr>
          <w:rFonts w:cstheme="minorHAnsi"/>
          <w:b/>
        </w:rPr>
        <w:t xml:space="preserve"> </w:t>
      </w:r>
    </w:p>
    <w:p w:rsidR="00E11E8B" w:rsidRDefault="00311ACD" w:rsidP="0002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hyperlink r:id="rId9" w:history="1">
        <w:r w:rsidR="00E11E8B">
          <w:rPr>
            <w:rStyle w:val="Hyperlink"/>
            <w:rFonts w:ascii="Tahoma" w:hAnsi="Tahoma" w:cs="Tahoma"/>
          </w:rPr>
          <w:t>http://www.quae.com/fr/r5080-l-histoire-de-l-inra-entre-science-et-politique.html</w:t>
        </w:r>
      </w:hyperlink>
    </w:p>
    <w:p w:rsidR="00C24011" w:rsidRPr="00457EBF" w:rsidRDefault="00C24011" w:rsidP="00C24011">
      <w:pPr>
        <w:pStyle w:val="NormalWeb"/>
        <w:rPr>
          <w:rFonts w:ascii="Arial" w:hAnsi="Arial" w:cs="Arial"/>
          <w:color w:val="000000"/>
          <w:sz w:val="18"/>
          <w:szCs w:val="18"/>
          <w:lang w:val="fr-FR"/>
        </w:rPr>
      </w:pPr>
      <w:r w:rsidRPr="00457E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Attention : Inscription obligatoire sur le site </w:t>
      </w:r>
      <w:proofErr w:type="spellStart"/>
      <w:r w:rsidRPr="00457E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UniAgro</w:t>
      </w:r>
      <w:proofErr w:type="spellEnd"/>
      <w:r w:rsidR="00800648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 pour raisons de </w:t>
      </w:r>
      <w:r w:rsidR="008930F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</w:t>
      </w:r>
      <w:r w:rsidRPr="00457E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écurité     </w:t>
      </w:r>
      <w:hyperlink r:id="rId10" w:history="1">
        <w:r w:rsidR="00800648" w:rsidRPr="00116B10">
          <w:rPr>
            <w:rStyle w:val="Hyperlink"/>
            <w:rFonts w:ascii="Arial" w:hAnsi="Arial" w:cs="Arial"/>
            <w:b/>
            <w:bCs/>
            <w:sz w:val="20"/>
            <w:szCs w:val="20"/>
            <w:lang w:val="fr-FR"/>
          </w:rPr>
          <w:t>www.uniagro.fr/agenda/5134</w:t>
        </w:r>
      </w:hyperlink>
      <w:r w:rsidR="000273E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57E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   </w:t>
      </w:r>
      <w:r w:rsidR="000273E2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(</w:t>
      </w:r>
      <w:r w:rsidRPr="00457E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 noter : possibilité de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s’inscrire en ligne et </w:t>
      </w:r>
      <w:r w:rsidRPr="00457E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 régler sur place.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)</w:t>
      </w:r>
    </w:p>
    <w:p w:rsidR="00C24011" w:rsidRPr="009B36DD" w:rsidRDefault="00C24011" w:rsidP="00C24011">
      <w:pPr>
        <w:pStyle w:val="NormalWeb"/>
        <w:rPr>
          <w:rFonts w:ascii="Arial" w:hAnsi="Arial" w:cs="Arial"/>
          <w:b/>
          <w:color w:val="000000"/>
          <w:sz w:val="18"/>
          <w:szCs w:val="18"/>
          <w:lang w:val="fr-FR"/>
        </w:rPr>
      </w:pPr>
      <w:r w:rsidRPr="009B36DD">
        <w:rPr>
          <w:rFonts w:ascii="Arial" w:hAnsi="Arial" w:cs="Arial"/>
          <w:b/>
          <w:color w:val="000000"/>
          <w:sz w:val="18"/>
          <w:szCs w:val="18"/>
          <w:lang w:val="fr-FR"/>
        </w:rPr>
        <w:t> </w:t>
      </w:r>
      <w:r w:rsidRPr="009B36DD">
        <w:rPr>
          <w:rFonts w:ascii="Arial" w:hAnsi="Arial" w:cs="Arial"/>
          <w:b/>
          <w:color w:val="000000"/>
          <w:sz w:val="20"/>
          <w:szCs w:val="20"/>
          <w:lang w:val="fr-FR"/>
        </w:rPr>
        <w:t>La conférence sera suivie d'un pot convivial pour prolonger la discussion avec nos interlocuteurs et une occasion de plus de cultiver le réseau.</w:t>
      </w:r>
      <w:r w:rsidRPr="009B36DD">
        <w:rPr>
          <w:rFonts w:ascii="Arial" w:hAnsi="Arial" w:cs="Arial"/>
          <w:b/>
          <w:color w:val="000000"/>
          <w:sz w:val="18"/>
          <w:szCs w:val="18"/>
          <w:lang w:val="fr-FR"/>
        </w:rPr>
        <w:t> </w:t>
      </w:r>
    </w:p>
    <w:p w:rsidR="009B36DD" w:rsidRPr="00C24011" w:rsidRDefault="00C24011" w:rsidP="00C24011">
      <w:pPr>
        <w:rPr>
          <w:rFonts w:ascii="Tahoma" w:hAnsi="Tahoma" w:cs="Tahoma"/>
          <w:b/>
        </w:rPr>
      </w:pPr>
      <w:r w:rsidRPr="00C24011">
        <w:rPr>
          <w:rFonts w:ascii="Arial" w:eastAsia="Times New Roman" w:hAnsi="Arial" w:cs="Arial"/>
          <w:b/>
          <w:color w:val="000000"/>
          <w:sz w:val="18"/>
          <w:szCs w:val="18"/>
        </w:rPr>
        <w:t>Agros en Rhône Alpes</w:t>
      </w:r>
    </w:p>
    <w:p w:rsidR="00E11E8B" w:rsidRPr="00717B81" w:rsidRDefault="009B36DD">
      <w:r w:rsidRPr="009B36DD">
        <w:rPr>
          <w:b/>
          <w:sz w:val="18"/>
          <w:szCs w:val="18"/>
        </w:rPr>
        <w:t>*  Co</w:t>
      </w:r>
      <w:r w:rsidRPr="009B36DD">
        <w:rPr>
          <w:b/>
          <w:strike/>
          <w:sz w:val="18"/>
          <w:szCs w:val="18"/>
        </w:rPr>
        <w:t>-</w:t>
      </w:r>
      <w:r w:rsidRPr="009B36DD">
        <w:rPr>
          <w:b/>
          <w:sz w:val="18"/>
          <w:szCs w:val="18"/>
        </w:rPr>
        <w:t>auteur</w:t>
      </w:r>
      <w:r w:rsidR="00A85322">
        <w:rPr>
          <w:b/>
          <w:sz w:val="18"/>
          <w:szCs w:val="18"/>
        </w:rPr>
        <w:t>s</w:t>
      </w:r>
      <w:r w:rsidRPr="009B36DD">
        <w:rPr>
          <w:b/>
          <w:sz w:val="18"/>
          <w:szCs w:val="18"/>
        </w:rPr>
        <w:t xml:space="preserve"> avec Pierre Cornu, professeur d’histoire contemporaine à l’Université Lyon 2</w:t>
      </w:r>
    </w:p>
    <w:sectPr w:rsidR="00E11E8B" w:rsidRPr="00717B81" w:rsidSect="00C2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2B4"/>
    <w:multiLevelType w:val="hybridMultilevel"/>
    <w:tmpl w:val="7A3CC968"/>
    <w:lvl w:ilvl="0" w:tplc="471ED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0"/>
    <w:rsid w:val="00015EBE"/>
    <w:rsid w:val="00023943"/>
    <w:rsid w:val="000273E2"/>
    <w:rsid w:val="000C50B3"/>
    <w:rsid w:val="0013354B"/>
    <w:rsid w:val="001A2867"/>
    <w:rsid w:val="00250C15"/>
    <w:rsid w:val="00311ACD"/>
    <w:rsid w:val="00353DFA"/>
    <w:rsid w:val="003626DC"/>
    <w:rsid w:val="0038360E"/>
    <w:rsid w:val="004F1536"/>
    <w:rsid w:val="00581EF0"/>
    <w:rsid w:val="00645258"/>
    <w:rsid w:val="00717B81"/>
    <w:rsid w:val="00733DF5"/>
    <w:rsid w:val="00800648"/>
    <w:rsid w:val="008275AA"/>
    <w:rsid w:val="008930F6"/>
    <w:rsid w:val="00924344"/>
    <w:rsid w:val="00983292"/>
    <w:rsid w:val="009B36DD"/>
    <w:rsid w:val="00A85322"/>
    <w:rsid w:val="00AF0F3C"/>
    <w:rsid w:val="00B53B76"/>
    <w:rsid w:val="00B67323"/>
    <w:rsid w:val="00C24011"/>
    <w:rsid w:val="00CA5AF0"/>
    <w:rsid w:val="00D40C07"/>
    <w:rsid w:val="00DC285B"/>
    <w:rsid w:val="00E11E8B"/>
    <w:rsid w:val="00EE540B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E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4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3B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E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4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3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niagro.fr/shortUrl/2hh-21062288?utm_source=uniagro&amp;utm_medium=email&amp;utm_campaign=table-ronde-biocontro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iagro.fr/agenda/5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ae.com/fr/r5080-l-histoire-de-l-inra-entre-science-et-politiqu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74C4-5CC9-41CA-A215-2D73C5E2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Maeght-Bournay</dc:creator>
  <cp:lastModifiedBy>Thierry Merckling</cp:lastModifiedBy>
  <cp:revision>7</cp:revision>
  <dcterms:created xsi:type="dcterms:W3CDTF">2018-03-27T11:21:00Z</dcterms:created>
  <dcterms:modified xsi:type="dcterms:W3CDTF">2018-03-27T11:42:00Z</dcterms:modified>
</cp:coreProperties>
</file>